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7DDB94B" w14:textId="77777777" w:rsidR="004A5E73" w:rsidRPr="001C3BA3" w:rsidRDefault="00A73806" w:rsidP="71486544">
      <w:pPr>
        <w:jc w:val="center"/>
        <w:rPr>
          <w:rFonts w:ascii="Aptos" w:eastAsia="Aptos" w:hAnsi="Aptos" w:cs="Aptos"/>
          <w:b/>
          <w:bCs/>
          <w:sz w:val="28"/>
          <w:szCs w:val="28"/>
        </w:rPr>
        <w:bidi w:val="0"/>
      </w:pPr>
      <w:r>
        <w:rPr>
          <w:rFonts w:ascii="Aptos" w:cs="Aptos" w:eastAsia="Aptos" w:hAnsi="Aptos"/>
          <w:sz w:val="28"/>
          <w:szCs w:val="28"/>
          <w:lang w:val="en"/>
          <w:b w:val="1"/>
          <w:bCs w:val="1"/>
          <w:i w:val="0"/>
          <w:iCs w:val="0"/>
          <w:u w:val="none"/>
          <w:vertAlign w:val="baseline"/>
          <w:rtl w:val="0"/>
        </w:rPr>
        <w:t xml:space="preserve">A review of Andrzej Wajda’s work in Japan</w:t>
      </w:r>
    </w:p>
    <w:p w14:paraId="672A6659" w14:textId="77777777" w:rsidR="004A5E73" w:rsidRPr="006A17AB" w:rsidRDefault="004A5E73" w:rsidP="71486544">
      <w:pPr>
        <w:jc w:val="center"/>
        <w:rPr>
          <w:rFonts w:ascii="Aptos" w:eastAsia="Aptos" w:hAnsi="Aptos" w:cs="Aptos"/>
          <w:b/>
          <w:bCs/>
          <w:sz w:val="26"/>
          <w:szCs w:val="26"/>
        </w:rPr>
      </w:pPr>
    </w:p>
    <w:p w14:paraId="0A37501D" w14:textId="77777777" w:rsidR="00A0448D" w:rsidRDefault="00A0448D" w:rsidP="71486544">
      <w:pPr>
        <w:spacing w:line="360" w:lineRule="auto"/>
        <w:jc w:val="both"/>
        <w:rPr>
          <w:rFonts w:ascii="Aptos" w:eastAsia="Aptos" w:hAnsi="Aptos" w:cs="Aptos"/>
          <w:i/>
          <w:iCs/>
          <w:sz w:val="22"/>
          <w:szCs w:val="22"/>
        </w:rPr>
      </w:pPr>
    </w:p>
    <w:p w14:paraId="0A4F1873" w14:textId="77777777" w:rsidR="00AC6D47" w:rsidRPr="00016601" w:rsidRDefault="00AC6D47"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1"/>
          <w:bCs w:val="1"/>
          <w:i w:val="0"/>
          <w:iCs w:val="0"/>
          <w:u w:val="none"/>
          <w:vertAlign w:val="baseline"/>
          <w:rtl w:val="0"/>
        </w:rPr>
        <w:t xml:space="preserve">From 10 December 2024 viewers in Tokyo will have an opportunity to experience the artistic accomplishments of one of Poland’s most distinguished directors, Academy Award winner Andrzej Wajda. </w:t>
      </w:r>
      <w:r>
        <w:rPr>
          <w:rFonts w:ascii="Aptos" w:cs="Aptos" w:eastAsia="Aptos" w:hAnsi="Aptos"/>
          <w:sz w:val="22"/>
          <w:szCs w:val="22"/>
          <w:lang w:val="en"/>
          <w:b w:val="1"/>
          <w:bCs w:val="1"/>
          <w:i w:val="0"/>
          <w:iCs w:val="0"/>
          <w:u w:val="none"/>
          <w:vertAlign w:val="baseline"/>
          <w:rtl w:val="0"/>
        </w:rPr>
        <w:t xml:space="preserve">The monographic exhibition “Wajda” dedicated to the director will be accompanied by a review of selected films, which will run until 26 December 2024. Both events will be held at the National Film Archive of Japan in Tokyo and are the result of cooperation with the Adam Mickiewicz Institute and the Manggha Museum in Krakow.</w:t>
      </w:r>
    </w:p>
    <w:p w14:paraId="6E7BEAA2" w14:textId="77777777" w:rsidR="001E1C5B" w:rsidRDefault="001E1C5B"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 </w:t>
      </w:r>
    </w:p>
    <w:p w14:paraId="41E9FAD2" w14:textId="77777777" w:rsidR="00520D5A" w:rsidRDefault="00520D5A"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1"/>
          <w:bCs w:val="1"/>
          <w:i w:val="0"/>
          <w:iCs w:val="0"/>
          <w:u w:val="none"/>
          <w:vertAlign w:val="baseline"/>
          <w:rtl w:val="0"/>
        </w:rPr>
        <w:t xml:space="preserve">Travels to Japan</w:t>
      </w:r>
    </w:p>
    <w:p w14:paraId="539460C2" w14:textId="51BD8AF8" w:rsidR="00520D5A" w:rsidRPr="00692CDF" w:rsidRDefault="00520D5A"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Japan occupied an important place on Andrzej Wajda’s travel map. The director has visited the Land of the Cherry Blossom as many as seven times, not only looking for creative inspiration, but also familiarising himself with its centuries-old tradition. As a result of his travels, he took notes and created sketches that viewers will have an opportunity to see as part of an exhibition at the National Film Archive of Japan. His admiration of and reflection on the lives of inhabitants of the Japanese Islands is evident. During the events, which begin in December, Japanese viewers will have the opportunity to both get to know the director’s work better and learn more about the unique bond he has forged with their country.</w:t>
      </w:r>
    </w:p>
    <w:p w14:paraId="5DAB6C7B" w14:textId="77777777" w:rsidR="00520D5A" w:rsidRDefault="00520D5A" w:rsidP="71486544">
      <w:pPr>
        <w:spacing w:line="360" w:lineRule="auto"/>
        <w:jc w:val="both"/>
        <w:rPr>
          <w:rFonts w:ascii="Aptos" w:eastAsia="Aptos" w:hAnsi="Aptos" w:cs="Aptos"/>
          <w:b/>
          <w:bCs/>
          <w:sz w:val="22"/>
          <w:szCs w:val="22"/>
        </w:rPr>
      </w:pPr>
    </w:p>
    <w:p w14:paraId="7A1D146C" w14:textId="77777777" w:rsidR="005B24D4" w:rsidRDefault="005C442C"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1"/>
          <w:bCs w:val="1"/>
          <w:i w:val="0"/>
          <w:iCs w:val="0"/>
          <w:u w:val="none"/>
          <w:vertAlign w:val="baseline"/>
          <w:rtl w:val="0"/>
        </w:rPr>
        <w:t xml:space="preserve">AMI is the organiser of the film review in Tokyo</w:t>
      </w:r>
    </w:p>
    <w:p w14:paraId="2ADD01DB" w14:textId="7AEB9A38" w:rsidR="007926FD" w:rsidRDefault="005B24D4"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The festival, which will last more than two weeks, will present 14 films summarising the period of the director’s work spanning 40 years, from 1954 to 1994. The artist’s works selected by the organisers of the event, will include, among others: “Generation” (1954), “Everything for Sale” (1968), “Man of Marble” (1977) or “Nastassia” (1994). A total of 30 ticketed screenings are scheduled. One of the screenings will be preceded by a lecture held by a Polish film historian, Dr Rafał Syska, who in 2019 curated the exhibition titled “Wajda”, presented at the National Museum in Krakow.</w:t>
      </w:r>
    </w:p>
    <w:p w14:paraId="02EB378F" w14:textId="77777777" w:rsidR="005C442C" w:rsidRDefault="005C442C" w:rsidP="71486544">
      <w:pPr>
        <w:spacing w:line="360" w:lineRule="auto"/>
        <w:jc w:val="both"/>
        <w:rPr>
          <w:rFonts w:ascii="Aptos" w:eastAsia="Aptos" w:hAnsi="Aptos" w:cs="Aptos"/>
          <w:sz w:val="22"/>
          <w:szCs w:val="22"/>
        </w:rPr>
      </w:pPr>
    </w:p>
    <w:p w14:paraId="2E7771D0" w14:textId="77777777" w:rsidR="00F75407" w:rsidRDefault="00F75407" w:rsidP="71486544">
      <w:pPr>
        <w:spacing w:line="360" w:lineRule="auto"/>
        <w:jc w:val="both"/>
        <w:rPr>
          <w:rFonts w:ascii="Aptos" w:eastAsia="Aptos" w:hAnsi="Aptos" w:cs="Aptos"/>
          <w:sz w:val="22"/>
          <w:szCs w:val="22"/>
        </w:rPr>
      </w:pPr>
    </w:p>
    <w:p w14:paraId="7B40B445" w14:textId="77777777" w:rsidR="00F75407" w:rsidRDefault="00F75407" w:rsidP="71486544">
      <w:pPr>
        <w:spacing w:line="360" w:lineRule="auto"/>
        <w:jc w:val="both"/>
        <w:rPr>
          <w:rFonts w:ascii="Aptos" w:eastAsia="Aptos" w:hAnsi="Aptos" w:cs="Aptos"/>
          <w:sz w:val="22"/>
          <w:szCs w:val="22"/>
        </w:rPr>
      </w:pPr>
    </w:p>
    <w:p w14:paraId="559D3F69" w14:textId="77777777" w:rsidR="005C442C" w:rsidRPr="00164443" w:rsidRDefault="0048300F"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1"/>
          <w:bCs w:val="1"/>
          <w:i w:val="0"/>
          <w:iCs w:val="0"/>
          <w:u w:val="none"/>
          <w:vertAlign w:val="baseline"/>
          <w:rtl w:val="0"/>
        </w:rPr>
        <w:t xml:space="preserve">“Wajda” exhibition space and multimedia show</w:t>
      </w:r>
    </w:p>
    <w:p w14:paraId="0145CF5C" w14:textId="7600268A" w:rsidR="00164443" w:rsidRDefault="0048300F"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The exhibition prepared by Manggha Museum of Japanese Art and Technology in Krakow (10.12.2024 - 25.03.2025) titled “Wajda” will be a space full of nooks and crannies, images and sounds designed to keep visitors in constant motion, alluding to the work of the Polish director, who after finishing one work moved on to the next one. The exhibition will feature objects from the Andrzej Wajda Archive, which are normally housed at the Manggha Museum in Krakow. They form a starting point of a “journey to Tokyo”, which consists of the director’s memorabilia: letters, production documents and, above all, the notebooks in which he took daily notes for most of his life. In this way Wajda recorded his feelings, accounts of meetings, ideas for films, but also his joys and irritations. There is no shortage of drawings and sketches in his notebooks, with which he expressed his emotions at different stages of his life. His archive at the Manggha Museum contains several intriguing objects, among them props from the film Katyn (2007) or a costume worn by Kazia, one of the main characters in “The Maids of Wilko” (1979) played by Krystyna Zachwatowicz-Wajda – the director’s wife. </w:t>
      </w:r>
    </w:p>
    <w:p w14:paraId="0C642C47" w14:textId="0CEDF8E3" w:rsidR="71486544" w:rsidRDefault="71486544" w:rsidP="71486544">
      <w:pPr>
        <w:spacing w:line="360" w:lineRule="auto"/>
        <w:jc w:val="both"/>
        <w:rPr>
          <w:rFonts w:ascii="Aptos" w:eastAsia="Aptos" w:hAnsi="Aptos" w:cs="Aptos"/>
          <w:sz w:val="22"/>
          <w:szCs w:val="22"/>
        </w:rPr>
      </w:pPr>
    </w:p>
    <w:p w14:paraId="5C93194F" w14:textId="4632FBD8" w:rsidR="0048300F" w:rsidRDefault="007926FD"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The exhibition will feature objects from collections across Poland: production stills and BTS photos from the National Film Archive – Audiovisual Institute in Warsaw, posters from the Museum of Cinematography in Lodz as well as costumes from the National Centre for Film Culture in Lodz and the Feature Film Studio in Wroclaw. An impressive collection of awards will be supplemented by items lent by the Ossolineum in Wroclaw and the Jagiellonian University Museum in Krakow: Wajda’s honorary Oscar award in recognition of five decades of extraordinary film direction and the Cannes Palme d’Or for “Man of Iron” (1981). </w:t>
      </w:r>
    </w:p>
    <w:p w14:paraId="6A05A809" w14:textId="77777777" w:rsidR="0048300F" w:rsidRDefault="0048300F" w:rsidP="71486544">
      <w:pPr>
        <w:spacing w:line="360" w:lineRule="auto"/>
        <w:jc w:val="both"/>
        <w:rPr>
          <w:rFonts w:ascii="Aptos" w:eastAsia="Aptos" w:hAnsi="Aptos" w:cs="Aptos"/>
          <w:sz w:val="22"/>
          <w:szCs w:val="22"/>
        </w:rPr>
      </w:pPr>
    </w:p>
    <w:p w14:paraId="05701614" w14:textId="6BC1FE10" w:rsidR="007926FD" w:rsidRDefault="007926FD"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Excerpts from Wajda’s films will transform the exhibition space into a multimedia show. They will guide viewers across Wajda’s life, starting with his childhood in the Suwalki region and the romantic myths associated with it; through the Inferno section focused on the war, his New Wave experiments and the theme of revolution; to nostalgic themes and the Japanese section. </w:t>
      </w:r>
    </w:p>
    <w:p w14:paraId="41C8F396" w14:textId="7308872D" w:rsidR="00692CDF" w:rsidRDefault="00692CDF" w:rsidP="71486544">
      <w:pPr>
        <w:spacing w:line="360" w:lineRule="auto"/>
        <w:jc w:val="both"/>
        <w:rPr>
          <w:rFonts w:ascii="Aptos" w:eastAsia="Aptos" w:hAnsi="Aptos" w:cs="Aptos"/>
          <w:sz w:val="22"/>
          <w:szCs w:val="22"/>
        </w:rPr>
      </w:pPr>
    </w:p>
    <w:p w14:paraId="37380205" w14:textId="77777777" w:rsidR="001C3BA3" w:rsidRPr="001C3BA3" w:rsidRDefault="001C3BA3"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Co-organisers of events: </w:t>
      </w:r>
      <w:r>
        <w:rPr>
          <w:rFonts w:ascii="Aptos" w:cs="Aptos" w:eastAsia="Aptos" w:hAnsi="Aptos"/>
          <w:sz w:val="22"/>
          <w:szCs w:val="22"/>
          <w:lang w:val="en"/>
          <w:b w:val="1"/>
          <w:bCs w:val="1"/>
          <w:i w:val="0"/>
          <w:iCs w:val="0"/>
          <w:u w:val="none"/>
          <w:vertAlign w:val="baseline"/>
          <w:rtl w:val="0"/>
        </w:rPr>
        <w:t xml:space="preserve">Adam Mickiewicz Institute, National Film Archive of Japan</w:t>
      </w:r>
    </w:p>
    <w:p w14:paraId="663BDE39" w14:textId="7AE42EEA" w:rsidR="71486544" w:rsidRDefault="001C3BA3"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0"/>
          <w:bCs w:val="0"/>
          <w:i w:val="0"/>
          <w:iCs w:val="0"/>
          <w:u w:val="none"/>
          <w:vertAlign w:val="baseline"/>
          <w:rtl w:val="0"/>
        </w:rPr>
        <w:t xml:space="preserve">Partners: </w:t>
      </w:r>
      <w:r>
        <w:rPr>
          <w:rFonts w:ascii="Aptos" w:cs="Aptos" w:eastAsia="Aptos" w:hAnsi="Aptos"/>
          <w:sz w:val="22"/>
          <w:szCs w:val="22"/>
          <w:lang w:val="en"/>
          <w:b w:val="1"/>
          <w:bCs w:val="1"/>
          <w:i w:val="0"/>
          <w:iCs w:val="0"/>
          <w:u w:val="none"/>
          <w:vertAlign w:val="baseline"/>
          <w:rtl w:val="0"/>
        </w:rPr>
        <w:t xml:space="preserve">National Museum in Krakow, Polish Institute in Tokyo</w:t>
      </w:r>
    </w:p>
    <w:p w14:paraId="048295C1" w14:textId="7D215C0E" w:rsidR="4C7A2208" w:rsidRDefault="4C7A2208"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1"/>
          <w:bCs w:val="1"/>
          <w:i w:val="0"/>
          <w:iCs w:val="0"/>
          <w:u w:val="none"/>
          <w:vertAlign w:val="baseline"/>
          <w:rtl w:val="0"/>
        </w:rPr>
        <w:t xml:space="preserve">More information: </w:t>
      </w:r>
      <w:hyperlink r:id="rId9">
        <w:r>
          <w:rPr>
            <w:rStyle w:val="Hipercze"/>
            <w:rFonts w:ascii="Aptos" w:cs="Aptos" w:eastAsia="Aptos" w:hAnsi="Aptos"/>
            <w:sz w:val="22"/>
            <w:szCs w:val="22"/>
            <w:lang w:val="en"/>
            <w:b w:val="1"/>
            <w:bCs w:val="1"/>
            <w:i w:val="0"/>
            <w:iCs w:val="0"/>
            <w:u w:val="single"/>
            <w:vertAlign w:val="baseline"/>
            <w:rtl w:val="0"/>
          </w:rPr>
          <w:t xml:space="preserve">www.iam.pl</w:t>
        </w:r>
      </w:hyperlink>
      <w:r>
        <w:rPr>
          <w:rFonts w:ascii="Aptos" w:cs="Aptos" w:eastAsia="Aptos" w:hAnsi="Aptos"/>
          <w:sz w:val="22"/>
          <w:szCs w:val="22"/>
          <w:lang w:val="en"/>
          <w:b w:val="1"/>
          <w:bCs w:val="1"/>
          <w:i w:val="0"/>
          <w:iCs w:val="0"/>
          <w:u w:val="none"/>
          <w:vertAlign w:val="baseline"/>
          <w:rtl w:val="0"/>
        </w:rPr>
        <w:t xml:space="preserve"> </w:t>
      </w:r>
    </w:p>
    <w:p w14:paraId="72A3D3EC" w14:textId="77777777" w:rsidR="007926FD" w:rsidRDefault="007926FD" w:rsidP="71486544">
      <w:pPr>
        <w:spacing w:line="360" w:lineRule="auto"/>
        <w:jc w:val="both"/>
        <w:rPr>
          <w:rFonts w:ascii="Aptos" w:eastAsia="Aptos" w:hAnsi="Aptos" w:cs="Aptos"/>
          <w:sz w:val="22"/>
          <w:szCs w:val="22"/>
        </w:rPr>
      </w:pPr>
    </w:p>
    <w:p w14:paraId="0A1DC093" w14:textId="1D7DD32A" w:rsidR="001C3BA3" w:rsidRDefault="001C3BA3" w:rsidP="71486544">
      <w:pPr>
        <w:spacing w:line="360" w:lineRule="auto"/>
        <w:jc w:val="both"/>
        <w:rPr>
          <w:rFonts w:ascii="Aptos" w:eastAsia="Aptos" w:hAnsi="Aptos" w:cs="Aptos"/>
          <w:b/>
          <w:bCs/>
          <w:sz w:val="22"/>
          <w:szCs w:val="22"/>
        </w:rPr>
        <w:bidi w:val="0"/>
      </w:pPr>
      <w:r>
        <w:rPr>
          <w:rFonts w:ascii="Aptos" w:cs="Aptos" w:eastAsia="Aptos" w:hAnsi="Aptos"/>
          <w:sz w:val="22"/>
          <w:szCs w:val="22"/>
          <w:lang w:val="en"/>
          <w:b w:val="1"/>
          <w:bCs w:val="1"/>
          <w:i w:val="0"/>
          <w:iCs w:val="0"/>
          <w:u w:val="none"/>
          <w:vertAlign w:val="baseline"/>
          <w:rtl w:val="0"/>
        </w:rPr>
        <w:t xml:space="preserve">Media contact:</w:t>
      </w:r>
    </w:p>
    <w:p w14:paraId="6C0D828B" w14:textId="4A8D3F5C" w:rsidR="001C3BA3" w:rsidRDefault="4C0FE3BA"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0"/>
          <w:bCs w:val="0"/>
          <w:i w:val="0"/>
          <w:iCs w:val="0"/>
          <w:u w:val="none"/>
          <w:vertAlign w:val="baseline"/>
          <w:rtl w:val="0"/>
        </w:rPr>
        <w:t xml:space="preserve">Grzegorz Niemczyk</w:t>
      </w:r>
    </w:p>
    <w:p w14:paraId="7238EE82" w14:textId="0184F5FF" w:rsidR="001C3BA3" w:rsidRDefault="001C3BA3" w:rsidP="71486544">
      <w:pPr>
        <w:spacing w:line="360" w:lineRule="auto"/>
        <w:jc w:val="both"/>
        <w:rPr>
          <w:rStyle w:val="Hipercze"/>
          <w:rFonts w:ascii="Aptos" w:eastAsia="Aptos" w:hAnsi="Aptos" w:cs="Aptos"/>
          <w:sz w:val="22"/>
          <w:szCs w:val="22"/>
        </w:rPr>
        <w:bidi w:val="0"/>
      </w:pPr>
      <w:hyperlink r:id="rId10">
        <w:r>
          <w:rPr>
            <w:rStyle w:val="Hipercze"/>
            <w:rFonts w:ascii="Aptos" w:cs="Aptos" w:eastAsia="Aptos" w:hAnsi="Aptos"/>
            <w:sz w:val="22"/>
            <w:szCs w:val="22"/>
            <w:lang w:val="en"/>
            <w:b w:val="0"/>
            <w:bCs w:val="0"/>
            <w:i w:val="0"/>
            <w:iCs w:val="0"/>
            <w:u w:val="single"/>
            <w:vertAlign w:val="baseline"/>
            <w:rtl w:val="0"/>
          </w:rPr>
          <w:t xml:space="preserve">gniemczyk@iam.pl</w:t>
        </w:r>
      </w:hyperlink>
    </w:p>
    <w:p w14:paraId="64B90292" w14:textId="77777777" w:rsidR="00F75407" w:rsidRDefault="00F75407" w:rsidP="71486544">
      <w:pPr>
        <w:spacing w:line="360" w:lineRule="auto"/>
        <w:jc w:val="both"/>
        <w:rPr>
          <w:rFonts w:ascii="Aptos" w:eastAsia="Aptos" w:hAnsi="Aptos" w:cs="Aptos"/>
          <w:sz w:val="22"/>
          <w:szCs w:val="22"/>
        </w:rPr>
      </w:pPr>
    </w:p>
    <w:p w14:paraId="0D0B940D" w14:textId="77777777" w:rsidR="001C3BA3" w:rsidRDefault="001C3BA3" w:rsidP="71486544">
      <w:pPr>
        <w:spacing w:line="360" w:lineRule="auto"/>
        <w:jc w:val="both"/>
        <w:rPr>
          <w:rFonts w:ascii="Aptos" w:eastAsia="Aptos" w:hAnsi="Aptos" w:cs="Aptos"/>
          <w:sz w:val="22"/>
          <w:szCs w:val="22"/>
        </w:rPr>
      </w:pPr>
    </w:p>
    <w:p w14:paraId="12F00565" w14:textId="77777777" w:rsidR="001E1C5B" w:rsidRPr="001E1C5B" w:rsidRDefault="001C3BA3" w:rsidP="71486544">
      <w:pPr>
        <w:spacing w:line="360" w:lineRule="auto"/>
        <w:jc w:val="both"/>
        <w:rPr>
          <w:rFonts w:ascii="Aptos" w:eastAsia="Aptos" w:hAnsi="Aptos" w:cs="Aptos"/>
          <w:sz w:val="22"/>
          <w:szCs w:val="22"/>
        </w:rPr>
        <w:bidi w:val="0"/>
      </w:pPr>
      <w:r>
        <w:rPr>
          <w:rFonts w:ascii="Aptos" w:cs="Aptos" w:eastAsia="Aptos" w:hAnsi="Aptos"/>
          <w:sz w:val="22"/>
          <w:szCs w:val="22"/>
          <w:lang w:val="en"/>
          <w:b w:val="1"/>
          <w:bCs w:val="1"/>
          <w:i w:val="0"/>
          <w:iCs w:val="0"/>
          <w:u w:val="none"/>
          <w:vertAlign w:val="baseline"/>
          <w:rtl w:val="0"/>
        </w:rPr>
        <w:t xml:space="preserve">The Adam Mickiewicz Institute</w:t>
      </w:r>
      <w:r>
        <w:rPr>
          <w:rFonts w:ascii="Aptos" w:cs="Aptos" w:eastAsia="Aptos" w:hAnsi="Aptos"/>
          <w:sz w:val="22"/>
          <w:szCs w:val="22"/>
          <w:lang w:val="en"/>
          <w:b w:val="0"/>
          <w:bCs w:val="0"/>
          <w:i w:val="0"/>
          <w:iCs w:val="0"/>
          <w:u w:val="none"/>
          <w:vertAlign w:val="baseline"/>
          <w:rtl w:val="0"/>
        </w:rPr>
        <w:t xml:space="preserve"> </w:t>
      </w:r>
      <w:r>
        <w:rPr>
          <w:rFonts w:ascii="Aptos" w:cs="Aptos" w:eastAsia="Aptos" w:hAnsi="Aptos"/>
          <w:sz w:val="22"/>
          <w:szCs w:val="22"/>
          <w:lang w:val="en"/>
          <w:b w:val="1"/>
          <w:bCs w:val="1"/>
          <w:i w:val="0"/>
          <w:iCs w:val="0"/>
          <w:u w:val="none"/>
          <w:vertAlign w:val="baseline"/>
          <w:rtl w:val="0"/>
        </w:rPr>
        <w:t xml:space="preserve">(IAM)</w:t>
      </w:r>
      <w:r>
        <w:rPr>
          <w:rFonts w:ascii="Aptos" w:cs="Aptos" w:eastAsia="Aptos" w:hAnsi="Aptos"/>
          <w:sz w:val="22"/>
          <w:szCs w:val="22"/>
          <w:lang w:val="en"/>
          <w:b w:val="0"/>
          <w:bCs w:val="0"/>
          <w:i w:val="0"/>
          <w:iCs w:val="0"/>
          <w:u w:val="none"/>
          <w:vertAlign w:val="baseline"/>
          <w:rtl w:val="0"/>
        </w:rPr>
        <w:t xml:space="preserve"> brings Polish culture to people around the world. Being a state institution, it creates lasting interest in Polish culture and art through strengthening the presence of Polish artists on the global stage. It initiates innovative projects and supports international cooperation and cultural exchanges. It promotes the work of both established and promising artists, showing the diversity and richness of our culture. AMI also runs the Culture.pl website, which is a comprehensive source of knowledge about Polish culture.</w:t>
      </w:r>
    </w:p>
    <w:sectPr w:rsidR="001E1C5B" w:rsidRPr="001E1C5B">
      <w:headerReference w:type="even" r:id="rId11"/>
      <w:headerReference w:type="default" r:id="rId12"/>
      <w:footerReference w:type="even" r:id="rId13"/>
      <w:footerReference w:type="default" r:id="rId14"/>
      <w:headerReference w:type="first" r:id="rId15"/>
      <w:footerReference w:type="first" r:id="rId16"/>
      <w:pgSz w:w="11906" w:h="16838"/>
      <w:pgMar w:top="1961"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92BAD" w14:textId="77777777" w:rsidR="00031CA4" w:rsidRDefault="00031CA4">
      <w:pPr>
        <w:bidi w:val="0"/>
      </w:pPr>
      <w:r>
        <w:separator/>
      </w:r>
    </w:p>
  </w:endnote>
  <w:endnote w:type="continuationSeparator" w:id="0">
    <w:p w14:paraId="7EF9BA76" w14:textId="77777777" w:rsidR="00031CA4" w:rsidRDefault="00031CA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C669" w14:textId="77777777" w:rsidR="0096465B" w:rsidRDefault="009646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1F1A8" w14:textId="77777777" w:rsidR="0096465B" w:rsidRDefault="008376F3">
    <w:pPr>
      <w:pStyle w:val="Stopka"/>
      <w:bidi w:val="0"/>
    </w:pPr>
    <w:r>
      <w:rPr>
        <w:noProof/>
        <w:lang w:val="en"/>
        <w:b w:val="0"/>
        <w:bCs w:val="0"/>
        <w:i w:val="0"/>
        <w:iCs w:val="0"/>
        <w:u w:val="none"/>
        <w:vertAlign w:val="baseline"/>
        <w:rtl w:val="0"/>
      </w:rPr>
      <w:drawing>
        <wp:anchor distT="0" distB="0" distL="0" distR="0" simplePos="0" relativeHeight="251658240" behindDoc="0" locked="0" layoutInCell="1" allowOverlap="1" wp14:anchorId="39763493" wp14:editId="07777777">
          <wp:simplePos x="0" y="0"/>
          <wp:positionH relativeFrom="column">
            <wp:align>center</wp:align>
          </wp:positionH>
          <wp:positionV relativeFrom="paragraph">
            <wp:posOffset>0</wp:posOffset>
          </wp:positionV>
          <wp:extent cx="5756910" cy="358775"/>
          <wp:effectExtent l="0" t="0" r="0" b="0"/>
          <wp:wrapTopAndBottom/>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587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8261" w14:textId="77777777" w:rsidR="0096465B" w:rsidRDefault="00964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037D6" w14:textId="77777777" w:rsidR="00031CA4" w:rsidRDefault="00031CA4">
      <w:pPr>
        <w:bidi w:val="0"/>
      </w:pPr>
      <w:r>
        <w:separator/>
      </w:r>
    </w:p>
  </w:footnote>
  <w:footnote w:type="continuationSeparator" w:id="0">
    <w:p w14:paraId="1ADE96AA" w14:textId="77777777" w:rsidR="00031CA4" w:rsidRDefault="00031CA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86C05" w14:textId="77777777" w:rsidR="0096465B" w:rsidRDefault="009646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ABD57" w14:textId="77777777" w:rsidR="0096465B" w:rsidRDefault="008376F3">
    <w:pPr>
      <w:pStyle w:val="Nagwek"/>
      <w:bidi w:val="0"/>
    </w:pPr>
    <w:r>
      <w:rPr>
        <w:noProof/>
        <w:lang w:val="en"/>
        <w:b w:val="0"/>
        <w:bCs w:val="0"/>
        <w:i w:val="0"/>
        <w:iCs w:val="0"/>
        <w:u w:val="none"/>
        <w:vertAlign w:val="baseline"/>
        <w:rtl w:val="0"/>
      </w:rPr>
      <w:drawing>
        <wp:anchor distT="0" distB="0" distL="0" distR="0" simplePos="0" relativeHeight="251657216" behindDoc="0" locked="0" layoutInCell="1" allowOverlap="1" wp14:anchorId="50C4E9D0" wp14:editId="07777777">
          <wp:simplePos x="0" y="0"/>
          <wp:positionH relativeFrom="column">
            <wp:posOffset>6985</wp:posOffset>
          </wp:positionH>
          <wp:positionV relativeFrom="paragraph">
            <wp:posOffset>0</wp:posOffset>
          </wp:positionV>
          <wp:extent cx="2046605" cy="678180"/>
          <wp:effectExtent l="0" t="0" r="0" b="0"/>
          <wp:wrapTopAndBottom/>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6605" cy="6781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656B9AB" w14:textId="77777777" w:rsidR="0096465B" w:rsidRDefault="0096465B">
    <w:pPr>
      <w:pStyle w:val="Nagwek"/>
    </w:pPr>
  </w:p>
  <w:p w14:paraId="45FB0818" w14:textId="77777777" w:rsidR="0096465B" w:rsidRDefault="0096465B">
    <w:pPr>
      <w:pStyle w:val="Nagwek"/>
    </w:pPr>
  </w:p>
  <w:p w14:paraId="049F31CB" w14:textId="77777777" w:rsidR="0096465B" w:rsidRDefault="0096465B">
    <w:pPr>
      <w:pStyle w:val="Nagwek"/>
      <w:ind w:left="524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1652C" w14:textId="77777777" w:rsidR="0096465B" w:rsidRDefault="009646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E591370"/>
    <w:multiLevelType w:val="hybridMultilevel"/>
    <w:tmpl w:val="950216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7E1E67"/>
    <w:multiLevelType w:val="hybridMultilevel"/>
    <w:tmpl w:val="DBC48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5503D1"/>
    <w:multiLevelType w:val="hybridMultilevel"/>
    <w:tmpl w:val="5D88C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0B2614"/>
    <w:multiLevelType w:val="hybridMultilevel"/>
    <w:tmpl w:val="13D4FC48"/>
    <w:lvl w:ilvl="0" w:tplc="427869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D7F5029"/>
    <w:multiLevelType w:val="hybridMultilevel"/>
    <w:tmpl w:val="055600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2870519">
    <w:abstractNumId w:val="0"/>
  </w:num>
  <w:num w:numId="2" w16cid:durableId="2021085178">
    <w:abstractNumId w:val="2"/>
  </w:num>
  <w:num w:numId="3" w16cid:durableId="1778214302">
    <w:abstractNumId w:val="1"/>
  </w:num>
  <w:num w:numId="4" w16cid:durableId="989290481">
    <w:abstractNumId w:val="3"/>
  </w:num>
  <w:num w:numId="5" w16cid:durableId="2108424731">
    <w:abstractNumId w:val="4"/>
  </w:num>
  <w:num w:numId="6" w16cid:durableId="1229647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CED"/>
    <w:rsid w:val="00016601"/>
    <w:rsid w:val="00031CA4"/>
    <w:rsid w:val="000411D1"/>
    <w:rsid w:val="00080034"/>
    <w:rsid w:val="000D0173"/>
    <w:rsid w:val="000D747D"/>
    <w:rsid w:val="000D772B"/>
    <w:rsid w:val="000D7767"/>
    <w:rsid w:val="0012241D"/>
    <w:rsid w:val="00122856"/>
    <w:rsid w:val="00125019"/>
    <w:rsid w:val="001267AB"/>
    <w:rsid w:val="0014760A"/>
    <w:rsid w:val="0015621A"/>
    <w:rsid w:val="0015787E"/>
    <w:rsid w:val="00164443"/>
    <w:rsid w:val="0019367E"/>
    <w:rsid w:val="001A0C4A"/>
    <w:rsid w:val="001A6800"/>
    <w:rsid w:val="001C3BA3"/>
    <w:rsid w:val="001E1C5B"/>
    <w:rsid w:val="0020111D"/>
    <w:rsid w:val="00225B5E"/>
    <w:rsid w:val="0024116F"/>
    <w:rsid w:val="002715B5"/>
    <w:rsid w:val="002876A9"/>
    <w:rsid w:val="002878C6"/>
    <w:rsid w:val="002C67B4"/>
    <w:rsid w:val="002D4F3A"/>
    <w:rsid w:val="002E2FE0"/>
    <w:rsid w:val="00345A41"/>
    <w:rsid w:val="0034641C"/>
    <w:rsid w:val="0037246C"/>
    <w:rsid w:val="00397301"/>
    <w:rsid w:val="003A4ED4"/>
    <w:rsid w:val="003B0D17"/>
    <w:rsid w:val="003C2BF6"/>
    <w:rsid w:val="003D1B86"/>
    <w:rsid w:val="003D2B0A"/>
    <w:rsid w:val="00401E56"/>
    <w:rsid w:val="00407317"/>
    <w:rsid w:val="00446A48"/>
    <w:rsid w:val="00446D0F"/>
    <w:rsid w:val="0048300F"/>
    <w:rsid w:val="004947DD"/>
    <w:rsid w:val="004A2E8C"/>
    <w:rsid w:val="004A5E73"/>
    <w:rsid w:val="004B27F2"/>
    <w:rsid w:val="004D5F9A"/>
    <w:rsid w:val="00520D5A"/>
    <w:rsid w:val="0054234C"/>
    <w:rsid w:val="00561FFC"/>
    <w:rsid w:val="0056486E"/>
    <w:rsid w:val="00583FFC"/>
    <w:rsid w:val="005B24D4"/>
    <w:rsid w:val="005C442C"/>
    <w:rsid w:val="005E0D2D"/>
    <w:rsid w:val="00641321"/>
    <w:rsid w:val="00643806"/>
    <w:rsid w:val="006865AC"/>
    <w:rsid w:val="00692CDF"/>
    <w:rsid w:val="006A17AB"/>
    <w:rsid w:val="006A30B4"/>
    <w:rsid w:val="006A5248"/>
    <w:rsid w:val="006A7DFB"/>
    <w:rsid w:val="006B0321"/>
    <w:rsid w:val="0072385B"/>
    <w:rsid w:val="00732BF3"/>
    <w:rsid w:val="0074515D"/>
    <w:rsid w:val="007700E8"/>
    <w:rsid w:val="00775131"/>
    <w:rsid w:val="00775CED"/>
    <w:rsid w:val="007926FD"/>
    <w:rsid w:val="007A7632"/>
    <w:rsid w:val="007C20C3"/>
    <w:rsid w:val="007E29CB"/>
    <w:rsid w:val="007F0AA1"/>
    <w:rsid w:val="007F2FB2"/>
    <w:rsid w:val="0080248E"/>
    <w:rsid w:val="00814928"/>
    <w:rsid w:val="008329A6"/>
    <w:rsid w:val="00833BED"/>
    <w:rsid w:val="008376F3"/>
    <w:rsid w:val="00863CC0"/>
    <w:rsid w:val="0089252D"/>
    <w:rsid w:val="00895C5C"/>
    <w:rsid w:val="008C4699"/>
    <w:rsid w:val="008D0C55"/>
    <w:rsid w:val="008D2746"/>
    <w:rsid w:val="00900C78"/>
    <w:rsid w:val="0090243C"/>
    <w:rsid w:val="009128FA"/>
    <w:rsid w:val="00924FDE"/>
    <w:rsid w:val="00931439"/>
    <w:rsid w:val="00954111"/>
    <w:rsid w:val="0096465B"/>
    <w:rsid w:val="00983590"/>
    <w:rsid w:val="00997CEE"/>
    <w:rsid w:val="009A4646"/>
    <w:rsid w:val="00A0448D"/>
    <w:rsid w:val="00A1038E"/>
    <w:rsid w:val="00A1188B"/>
    <w:rsid w:val="00A31297"/>
    <w:rsid w:val="00A60C8C"/>
    <w:rsid w:val="00A70C85"/>
    <w:rsid w:val="00A7116A"/>
    <w:rsid w:val="00A73806"/>
    <w:rsid w:val="00A858AE"/>
    <w:rsid w:val="00AC20A2"/>
    <w:rsid w:val="00AC6D47"/>
    <w:rsid w:val="00B008BB"/>
    <w:rsid w:val="00B059A4"/>
    <w:rsid w:val="00B11FDA"/>
    <w:rsid w:val="00B821DD"/>
    <w:rsid w:val="00BA53A8"/>
    <w:rsid w:val="00BA78A8"/>
    <w:rsid w:val="00BE0405"/>
    <w:rsid w:val="00BE2DEF"/>
    <w:rsid w:val="00BF7107"/>
    <w:rsid w:val="00C17392"/>
    <w:rsid w:val="00C51EEB"/>
    <w:rsid w:val="00C64F6A"/>
    <w:rsid w:val="00CC5529"/>
    <w:rsid w:val="00CD7810"/>
    <w:rsid w:val="00CF4E5E"/>
    <w:rsid w:val="00D56091"/>
    <w:rsid w:val="00D61C77"/>
    <w:rsid w:val="00D70421"/>
    <w:rsid w:val="00D75E9B"/>
    <w:rsid w:val="00DA3A0E"/>
    <w:rsid w:val="00DA42D0"/>
    <w:rsid w:val="00DB2323"/>
    <w:rsid w:val="00DC2124"/>
    <w:rsid w:val="00DC7639"/>
    <w:rsid w:val="00DD4232"/>
    <w:rsid w:val="00DF0D4D"/>
    <w:rsid w:val="00DF1F77"/>
    <w:rsid w:val="00E303B9"/>
    <w:rsid w:val="00E74B89"/>
    <w:rsid w:val="00EA6F54"/>
    <w:rsid w:val="00EF3A02"/>
    <w:rsid w:val="00F01CF1"/>
    <w:rsid w:val="00F23571"/>
    <w:rsid w:val="00F2662F"/>
    <w:rsid w:val="00F35280"/>
    <w:rsid w:val="00F53B3A"/>
    <w:rsid w:val="00F75407"/>
    <w:rsid w:val="00F76E93"/>
    <w:rsid w:val="00F904D0"/>
    <w:rsid w:val="00F94681"/>
    <w:rsid w:val="00FA0C21"/>
    <w:rsid w:val="00FD3F4D"/>
    <w:rsid w:val="00FE5888"/>
    <w:rsid w:val="05547218"/>
    <w:rsid w:val="1292A7A0"/>
    <w:rsid w:val="1FC67382"/>
    <w:rsid w:val="251485E1"/>
    <w:rsid w:val="262660CE"/>
    <w:rsid w:val="28060527"/>
    <w:rsid w:val="2E838323"/>
    <w:rsid w:val="2F303719"/>
    <w:rsid w:val="367C9A5B"/>
    <w:rsid w:val="367E3857"/>
    <w:rsid w:val="3F77730C"/>
    <w:rsid w:val="4341936C"/>
    <w:rsid w:val="43D737E0"/>
    <w:rsid w:val="457E5EBF"/>
    <w:rsid w:val="4778CBE2"/>
    <w:rsid w:val="4B0981C4"/>
    <w:rsid w:val="4C0FE3BA"/>
    <w:rsid w:val="4C7A2208"/>
    <w:rsid w:val="53AE1E9E"/>
    <w:rsid w:val="53F1EE2F"/>
    <w:rsid w:val="68DB6937"/>
    <w:rsid w:val="69C5D51B"/>
    <w:rsid w:val="6B307B78"/>
    <w:rsid w:val="6E3AB9E3"/>
    <w:rsid w:val="71486544"/>
    <w:rsid w:val="762394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763874B"/>
  <w15:chartTrackingRefBased/>
  <w15:docId w15:val="{5EDA777A-9EBE-4BC2-BBAE-03DDC4A5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Heading"/>
    <w:next w:val="Tekstpodstawowy"/>
    <w:qFormat/>
    <w:pPr>
      <w:numPr>
        <w:numId w:val="1"/>
      </w:numPr>
      <w:outlineLvl w:val="0"/>
    </w:pPr>
    <w:rPr>
      <w:b/>
      <w:bCs/>
      <w:sz w:val="32"/>
      <w:szCs w:val="32"/>
    </w:rPr>
  </w:style>
  <w:style w:type="paragraph" w:styleId="Nagwek2">
    <w:name w:val="heading 2"/>
    <w:basedOn w:val="Normalny"/>
    <w:next w:val="Tekstpodstawowy"/>
    <w:qFormat/>
    <w:pPr>
      <w:keepNext/>
      <w:numPr>
        <w:ilvl w:val="1"/>
        <w:numId w:val="1"/>
      </w:numPr>
      <w:spacing w:line="360" w:lineRule="auto"/>
      <w:outlineLvl w:val="1"/>
    </w:pPr>
    <w:rPr>
      <w:b/>
      <w:bCs/>
      <w:i/>
      <w:iCs/>
      <w:lang w:val="fr-FR"/>
    </w:rPr>
  </w:style>
  <w:style w:type="paragraph" w:styleId="Nagwek3">
    <w:name w:val="heading 3"/>
    <w:basedOn w:val="Normalny"/>
    <w:next w:val="Tekstpodstawowy"/>
    <w:qFormat/>
    <w:pPr>
      <w:keepNext/>
      <w:numPr>
        <w:ilvl w:val="2"/>
        <w:numId w:val="1"/>
      </w:numPr>
      <w:spacing w:line="360" w:lineRule="auto"/>
      <w:ind w:left="0" w:firstLine="5400"/>
      <w:jc w:val="both"/>
      <w:outlineLvl w:val="2"/>
    </w:pPr>
    <w:rPr>
      <w:rFonts w:ascii="Arial" w:hAnsi="Arial" w:cs="Arial"/>
      <w:b/>
      <w:bCs/>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efaultParagraphFont1">
    <w:name w:val="Default Paragraph Font1"/>
  </w:style>
  <w:style w:type="character" w:customStyle="1" w:styleId="BalloonTextChar">
    <w:name w:val="Balloon Text Char"/>
    <w:rPr>
      <w:rFonts w:ascii="Tahoma" w:hAnsi="Tahoma" w:cs="Tahoma"/>
      <w:sz w:val="16"/>
      <w:szCs w:val="16"/>
    </w:rPr>
  </w:style>
  <w:style w:type="character" w:customStyle="1" w:styleId="HeaderChar">
    <w:name w:val="Header Char"/>
    <w:rPr>
      <w:sz w:val="24"/>
      <w:szCs w:val="24"/>
      <w:lang w:val="pl-PL"/>
    </w:rPr>
  </w:style>
  <w:style w:type="character" w:customStyle="1" w:styleId="ListLabel1">
    <w:name w:val="ListLabel 1"/>
    <w:rPr>
      <w:rFonts w:cs="Symbol"/>
    </w:rPr>
  </w:style>
  <w:style w:type="paragraph" w:customStyle="1" w:styleId="Heading">
    <w:name w:val="Heading"/>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Caption1">
    <w:name w:val="Caption1"/>
    <w:basedOn w:val="Normalny"/>
    <w:pPr>
      <w:suppressLineNumbers/>
      <w:spacing w:before="120" w:after="120"/>
    </w:pPr>
    <w:rPr>
      <w:i/>
      <w:iCs/>
    </w:rPr>
  </w:style>
  <w:style w:type="paragraph" w:customStyle="1" w:styleId="Index">
    <w:name w:val="Index"/>
    <w:basedOn w:val="Normalny"/>
    <w:pPr>
      <w:suppressLineNumbers/>
    </w:pPr>
  </w:style>
  <w:style w:type="paragraph" w:styleId="Nagwek">
    <w:name w:val="header"/>
    <w:basedOn w:val="Normalny"/>
    <w:pPr>
      <w:suppressLineNumbers/>
      <w:tabs>
        <w:tab w:val="center" w:pos="4536"/>
        <w:tab w:val="right" w:pos="9072"/>
      </w:tabs>
    </w:pPr>
  </w:style>
  <w:style w:type="paragraph" w:styleId="Stopka">
    <w:name w:val="footer"/>
    <w:basedOn w:val="Normalny"/>
    <w:pPr>
      <w:suppressLineNumbers/>
      <w:tabs>
        <w:tab w:val="center" w:pos="4536"/>
        <w:tab w:val="right" w:pos="9072"/>
      </w:tabs>
    </w:pPr>
  </w:style>
  <w:style w:type="paragraph" w:customStyle="1" w:styleId="BalloonText1">
    <w:name w:val="Balloon Text1"/>
    <w:basedOn w:val="Normalny"/>
    <w:rPr>
      <w:rFonts w:ascii="Tahoma" w:hAnsi="Tahoma" w:cs="Tahoma"/>
      <w:sz w:val="16"/>
      <w:szCs w:val="16"/>
    </w:rPr>
  </w:style>
  <w:style w:type="paragraph" w:customStyle="1" w:styleId="MNWbodychoragiewka">
    <w:name w:val="MNW_body_choragiewka"/>
    <w:basedOn w:val="Normalny"/>
    <w:pPr>
      <w:tabs>
        <w:tab w:val="left" w:pos="10773"/>
      </w:tabs>
      <w:ind w:left="3544"/>
    </w:pPr>
    <w:rPr>
      <w:rFonts w:ascii="Arial" w:eastAsia="MS Mincho" w:hAnsi="Arial" w:cs="Arial"/>
      <w:color w:val="CD003A"/>
      <w:sz w:val="21"/>
      <w:szCs w:val="21"/>
      <w:lang w:val="en-GB"/>
    </w:rPr>
  </w:style>
  <w:style w:type="character" w:styleId="Hipercze">
    <w:name w:val="Hyperlink"/>
    <w:uiPriority w:val="99"/>
    <w:unhideWhenUsed/>
    <w:rsid w:val="00A31297"/>
    <w:rPr>
      <w:color w:val="467886"/>
      <w:u w:val="single"/>
    </w:rPr>
  </w:style>
  <w:style w:type="character" w:styleId="Nierozpoznanawzmianka">
    <w:name w:val="Unresolved Mention"/>
    <w:uiPriority w:val="99"/>
    <w:semiHidden/>
    <w:unhideWhenUsed/>
    <w:rsid w:val="00A31297"/>
    <w:rPr>
      <w:color w:val="605E5C"/>
      <w:shd w:val="clear" w:color="auto" w:fill="E1DFDD"/>
    </w:rPr>
  </w:style>
  <w:style w:type="character" w:styleId="Odwoaniedokomentarza">
    <w:name w:val="annotation reference"/>
    <w:uiPriority w:val="99"/>
    <w:semiHidden/>
    <w:unhideWhenUsed/>
    <w:rsid w:val="0012241D"/>
    <w:rPr>
      <w:sz w:val="16"/>
      <w:szCs w:val="16"/>
    </w:rPr>
  </w:style>
  <w:style w:type="paragraph" w:styleId="Tekstkomentarza">
    <w:name w:val="annotation text"/>
    <w:basedOn w:val="Normalny"/>
    <w:link w:val="TekstkomentarzaZnak"/>
    <w:uiPriority w:val="99"/>
    <w:unhideWhenUsed/>
    <w:rsid w:val="0012241D"/>
    <w:rPr>
      <w:sz w:val="20"/>
      <w:szCs w:val="20"/>
    </w:rPr>
  </w:style>
  <w:style w:type="character" w:customStyle="1" w:styleId="TekstkomentarzaZnak">
    <w:name w:val="Tekst komentarza Znak"/>
    <w:link w:val="Tekstkomentarza"/>
    <w:uiPriority w:val="99"/>
    <w:rsid w:val="0012241D"/>
    <w:rPr>
      <w:lang w:eastAsia="ar-SA"/>
    </w:rPr>
  </w:style>
  <w:style w:type="paragraph" w:styleId="Tematkomentarza">
    <w:name w:val="annotation subject"/>
    <w:basedOn w:val="Tekstkomentarza"/>
    <w:next w:val="Tekstkomentarza"/>
    <w:link w:val="TematkomentarzaZnak"/>
    <w:uiPriority w:val="99"/>
    <w:semiHidden/>
    <w:unhideWhenUsed/>
    <w:rsid w:val="0012241D"/>
    <w:rPr>
      <w:b/>
      <w:bCs/>
    </w:rPr>
  </w:style>
  <w:style w:type="character" w:customStyle="1" w:styleId="TematkomentarzaZnak">
    <w:name w:val="Temat komentarza Znak"/>
    <w:link w:val="Tematkomentarza"/>
    <w:uiPriority w:val="99"/>
    <w:semiHidden/>
    <w:rsid w:val="0012241D"/>
    <w:rPr>
      <w:b/>
      <w:bCs/>
      <w:lang w:eastAsia="ar-SA"/>
    </w:rPr>
  </w:style>
  <w:style w:type="character" w:styleId="UyteHipercze">
    <w:name w:val="FollowedHyperlink"/>
    <w:uiPriority w:val="99"/>
    <w:semiHidden/>
    <w:unhideWhenUsed/>
    <w:rsid w:val="003B0D17"/>
    <w:rPr>
      <w:color w:val="954F72"/>
      <w:u w:val="single"/>
    </w:rPr>
  </w:style>
  <w:style w:type="paragraph" w:styleId="Poprawka">
    <w:name w:val="Revision"/>
    <w:hidden/>
    <w:uiPriority w:val="99"/>
    <w:semiHidden/>
    <w:rsid w:val="008329A6"/>
    <w:rPr>
      <w:sz w:val="24"/>
      <w:szCs w:val="24"/>
      <w:lang w:eastAsia="ar-SA"/>
    </w:rPr>
  </w:style>
  <w:style w:type="paragraph" w:styleId="Akapitzlist">
    <w:name w:val="List Paragraph"/>
    <w:basedOn w:val="Normalny"/>
    <w:uiPriority w:val="34"/>
    <w:qFormat/>
    <w:rsid w:val="0034641C"/>
    <w:pPr>
      <w:suppressAutoHyphens w:val="0"/>
      <w:spacing w:after="160" w:line="259" w:lineRule="auto"/>
      <w:ind w:left="720"/>
      <w:contextualSpacing/>
    </w:pPr>
    <w:rPr>
      <w:rFonts w:ascii="Calibri" w:eastAsia="Calibri" w:hAnsi="Calibri"/>
      <w:kern w:val="2"/>
      <w:sz w:val="22"/>
      <w:szCs w:val="22"/>
      <w:lang w:eastAsia="en-US"/>
    </w:rPr>
  </w:style>
  <w:style w:type="paragraph" w:styleId="Tekstprzypisukocowego">
    <w:name w:val="endnote text"/>
    <w:basedOn w:val="Normalny"/>
    <w:link w:val="TekstprzypisukocowegoZnak"/>
    <w:uiPriority w:val="99"/>
    <w:semiHidden/>
    <w:unhideWhenUsed/>
    <w:rsid w:val="000D0173"/>
    <w:rPr>
      <w:sz w:val="20"/>
      <w:szCs w:val="20"/>
    </w:rPr>
  </w:style>
  <w:style w:type="character" w:customStyle="1" w:styleId="TekstprzypisukocowegoZnak">
    <w:name w:val="Tekst przypisu końcowego Znak"/>
    <w:link w:val="Tekstprzypisukocowego"/>
    <w:uiPriority w:val="99"/>
    <w:semiHidden/>
    <w:rsid w:val="000D0173"/>
    <w:rPr>
      <w:lang w:eastAsia="ar-SA"/>
    </w:rPr>
  </w:style>
  <w:style w:type="character" w:styleId="Odwoanieprzypisukocowego">
    <w:name w:val="endnote reference"/>
    <w:uiPriority w:val="99"/>
    <w:semiHidden/>
    <w:unhideWhenUsed/>
    <w:rsid w:val="000D01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47388">
      <w:bodyDiv w:val="1"/>
      <w:marLeft w:val="0"/>
      <w:marRight w:val="0"/>
      <w:marTop w:val="0"/>
      <w:marBottom w:val="0"/>
      <w:divBdr>
        <w:top w:val="none" w:sz="0" w:space="0" w:color="auto"/>
        <w:left w:val="none" w:sz="0" w:space="0" w:color="auto"/>
        <w:bottom w:val="none" w:sz="0" w:space="0" w:color="auto"/>
        <w:right w:val="none" w:sz="0" w:space="0" w:color="auto"/>
      </w:divBdr>
    </w:div>
    <w:div w:id="340619109">
      <w:bodyDiv w:val="1"/>
      <w:marLeft w:val="0"/>
      <w:marRight w:val="0"/>
      <w:marTop w:val="0"/>
      <w:marBottom w:val="0"/>
      <w:divBdr>
        <w:top w:val="none" w:sz="0" w:space="0" w:color="auto"/>
        <w:left w:val="none" w:sz="0" w:space="0" w:color="auto"/>
        <w:bottom w:val="none" w:sz="0" w:space="0" w:color="auto"/>
        <w:right w:val="none" w:sz="0" w:space="0" w:color="auto"/>
      </w:divBdr>
    </w:div>
    <w:div w:id="715353651">
      <w:bodyDiv w:val="1"/>
      <w:marLeft w:val="0"/>
      <w:marRight w:val="0"/>
      <w:marTop w:val="0"/>
      <w:marBottom w:val="0"/>
      <w:divBdr>
        <w:top w:val="none" w:sz="0" w:space="0" w:color="auto"/>
        <w:left w:val="none" w:sz="0" w:space="0" w:color="auto"/>
        <w:bottom w:val="none" w:sz="0" w:space="0" w:color="auto"/>
        <w:right w:val="none" w:sz="0" w:space="0" w:color="auto"/>
      </w:divBdr>
    </w:div>
    <w:div w:id="776216910">
      <w:bodyDiv w:val="1"/>
      <w:marLeft w:val="0"/>
      <w:marRight w:val="0"/>
      <w:marTop w:val="0"/>
      <w:marBottom w:val="0"/>
      <w:divBdr>
        <w:top w:val="none" w:sz="0" w:space="0" w:color="auto"/>
        <w:left w:val="none" w:sz="0" w:space="0" w:color="auto"/>
        <w:bottom w:val="none" w:sz="0" w:space="0" w:color="auto"/>
        <w:right w:val="none" w:sz="0" w:space="0" w:color="auto"/>
      </w:divBdr>
    </w:div>
    <w:div w:id="939989229">
      <w:bodyDiv w:val="1"/>
      <w:marLeft w:val="0"/>
      <w:marRight w:val="0"/>
      <w:marTop w:val="0"/>
      <w:marBottom w:val="0"/>
      <w:divBdr>
        <w:top w:val="none" w:sz="0" w:space="0" w:color="auto"/>
        <w:left w:val="none" w:sz="0" w:space="0" w:color="auto"/>
        <w:bottom w:val="none" w:sz="0" w:space="0" w:color="auto"/>
        <w:right w:val="none" w:sz="0" w:space="0" w:color="auto"/>
      </w:divBdr>
    </w:div>
    <w:div w:id="988825062">
      <w:bodyDiv w:val="1"/>
      <w:marLeft w:val="0"/>
      <w:marRight w:val="0"/>
      <w:marTop w:val="0"/>
      <w:marBottom w:val="0"/>
      <w:divBdr>
        <w:top w:val="none" w:sz="0" w:space="0" w:color="auto"/>
        <w:left w:val="none" w:sz="0" w:space="0" w:color="auto"/>
        <w:bottom w:val="none" w:sz="0" w:space="0" w:color="auto"/>
        <w:right w:val="none" w:sz="0" w:space="0" w:color="auto"/>
      </w:divBdr>
      <w:divsChild>
        <w:div w:id="666446309">
          <w:marLeft w:val="0"/>
          <w:marRight w:val="0"/>
          <w:marTop w:val="0"/>
          <w:marBottom w:val="0"/>
          <w:divBdr>
            <w:top w:val="none" w:sz="0" w:space="0" w:color="auto"/>
            <w:left w:val="none" w:sz="0" w:space="0" w:color="auto"/>
            <w:bottom w:val="none" w:sz="0" w:space="0" w:color="auto"/>
            <w:right w:val="none" w:sz="0" w:space="0" w:color="auto"/>
          </w:divBdr>
        </w:div>
        <w:div w:id="1851750276">
          <w:marLeft w:val="0"/>
          <w:marRight w:val="0"/>
          <w:marTop w:val="0"/>
          <w:marBottom w:val="0"/>
          <w:divBdr>
            <w:top w:val="none" w:sz="0" w:space="0" w:color="auto"/>
            <w:left w:val="none" w:sz="0" w:space="0" w:color="auto"/>
            <w:bottom w:val="none" w:sz="0" w:space="0" w:color="auto"/>
            <w:right w:val="none" w:sz="0" w:space="0" w:color="auto"/>
          </w:divBdr>
        </w:div>
      </w:divsChild>
    </w:div>
    <w:div w:id="1071387615">
      <w:bodyDiv w:val="1"/>
      <w:marLeft w:val="0"/>
      <w:marRight w:val="0"/>
      <w:marTop w:val="0"/>
      <w:marBottom w:val="0"/>
      <w:divBdr>
        <w:top w:val="none" w:sz="0" w:space="0" w:color="auto"/>
        <w:left w:val="none" w:sz="0" w:space="0" w:color="auto"/>
        <w:bottom w:val="none" w:sz="0" w:space="0" w:color="auto"/>
        <w:right w:val="none" w:sz="0" w:space="0" w:color="auto"/>
      </w:divBdr>
    </w:div>
    <w:div w:id="1477603850">
      <w:bodyDiv w:val="1"/>
      <w:marLeft w:val="0"/>
      <w:marRight w:val="0"/>
      <w:marTop w:val="0"/>
      <w:marBottom w:val="0"/>
      <w:divBdr>
        <w:top w:val="none" w:sz="0" w:space="0" w:color="auto"/>
        <w:left w:val="none" w:sz="0" w:space="0" w:color="auto"/>
        <w:bottom w:val="none" w:sz="0" w:space="0" w:color="auto"/>
        <w:right w:val="none" w:sz="0" w:space="0" w:color="auto"/>
      </w:divBdr>
    </w:div>
    <w:div w:id="1586570723">
      <w:bodyDiv w:val="1"/>
      <w:marLeft w:val="0"/>
      <w:marRight w:val="0"/>
      <w:marTop w:val="0"/>
      <w:marBottom w:val="0"/>
      <w:divBdr>
        <w:top w:val="none" w:sz="0" w:space="0" w:color="auto"/>
        <w:left w:val="none" w:sz="0" w:space="0" w:color="auto"/>
        <w:bottom w:val="none" w:sz="0" w:space="0" w:color="auto"/>
        <w:right w:val="none" w:sz="0" w:space="0" w:color="auto"/>
      </w:divBdr>
    </w:div>
    <w:div w:id="1613122463">
      <w:bodyDiv w:val="1"/>
      <w:marLeft w:val="0"/>
      <w:marRight w:val="0"/>
      <w:marTop w:val="0"/>
      <w:marBottom w:val="0"/>
      <w:divBdr>
        <w:top w:val="none" w:sz="0" w:space="0" w:color="auto"/>
        <w:left w:val="none" w:sz="0" w:space="0" w:color="auto"/>
        <w:bottom w:val="none" w:sz="0" w:space="0" w:color="auto"/>
        <w:right w:val="none" w:sz="0" w:space="0" w:color="auto"/>
      </w:divBdr>
    </w:div>
    <w:div w:id="1757243710">
      <w:bodyDiv w:val="1"/>
      <w:marLeft w:val="0"/>
      <w:marRight w:val="0"/>
      <w:marTop w:val="0"/>
      <w:marBottom w:val="0"/>
      <w:divBdr>
        <w:top w:val="none" w:sz="0" w:space="0" w:color="auto"/>
        <w:left w:val="none" w:sz="0" w:space="0" w:color="auto"/>
        <w:bottom w:val="none" w:sz="0" w:space="0" w:color="auto"/>
        <w:right w:val="none" w:sz="0" w:space="0" w:color="auto"/>
      </w:divBdr>
    </w:div>
    <w:div w:id="2098359184">
      <w:bodyDiv w:val="1"/>
      <w:marLeft w:val="0"/>
      <w:marRight w:val="0"/>
      <w:marTop w:val="0"/>
      <w:marBottom w:val="0"/>
      <w:divBdr>
        <w:top w:val="none" w:sz="0" w:space="0" w:color="auto"/>
        <w:left w:val="none" w:sz="0" w:space="0" w:color="auto"/>
        <w:bottom w:val="none" w:sz="0" w:space="0" w:color="auto"/>
        <w:right w:val="none" w:sz="0" w:space="0" w:color="auto"/>
      </w:divBdr>
    </w:div>
    <w:div w:id="2107455199">
      <w:bodyDiv w:val="1"/>
      <w:marLeft w:val="0"/>
      <w:marRight w:val="0"/>
      <w:marTop w:val="0"/>
      <w:marBottom w:val="0"/>
      <w:divBdr>
        <w:top w:val="none" w:sz="0" w:space="0" w:color="auto"/>
        <w:left w:val="none" w:sz="0" w:space="0" w:color="auto"/>
        <w:bottom w:val="none" w:sz="0" w:space="0" w:color="auto"/>
        <w:right w:val="none" w:sz="0" w:space="0" w:color="auto"/>
      </w:divBdr>
    </w:div>
    <w:div w:id="2109695635">
      <w:bodyDiv w:val="1"/>
      <w:marLeft w:val="0"/>
      <w:marRight w:val="0"/>
      <w:marTop w:val="0"/>
      <w:marBottom w:val="0"/>
      <w:divBdr>
        <w:top w:val="none" w:sz="0" w:space="0" w:color="auto"/>
        <w:left w:val="none" w:sz="0" w:space="0" w:color="auto"/>
        <w:bottom w:val="none" w:sz="0" w:space="0" w:color="auto"/>
        <w:right w:val="none" w:sz="0" w:space="0" w:color="auto"/>
      </w:divBdr>
      <w:divsChild>
        <w:div w:id="130296402">
          <w:marLeft w:val="0"/>
          <w:marRight w:val="0"/>
          <w:marTop w:val="0"/>
          <w:marBottom w:val="0"/>
          <w:divBdr>
            <w:top w:val="none" w:sz="0" w:space="0" w:color="auto"/>
            <w:left w:val="none" w:sz="0" w:space="0" w:color="auto"/>
            <w:bottom w:val="none" w:sz="0" w:space="0" w:color="auto"/>
            <w:right w:val="none" w:sz="0" w:space="0" w:color="auto"/>
          </w:divBdr>
        </w:div>
        <w:div w:id="283853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numbering" Target="numbering.xml" /><Relationship Id="rId7" Type="http://schemas.openxmlformats.org/officeDocument/2006/relationships/footnotes" Target="foot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customXml" Target="../customXml/item2.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header" Target="header1.xml" /><Relationship Id="rId5" Type="http://schemas.openxmlformats.org/officeDocument/2006/relationships/settings" Target="settings.xml" /><Relationship Id="rId15" Type="http://schemas.openxmlformats.org/officeDocument/2006/relationships/header" Target="header3.xml" /><Relationship Id="rId10" Type="http://schemas.openxmlformats.org/officeDocument/2006/relationships/hyperlink" TargetMode="External" Target="mailto:gniemczyk@iam.pl" /><Relationship Id="rId4" Type="http://schemas.openxmlformats.org/officeDocument/2006/relationships/styles" Target="styles.xml" /><Relationship Id="rId9" Type="http://schemas.openxmlformats.org/officeDocument/2006/relationships/hyperlink" TargetMode="External" Target="https://www.iam.pl" /><Relationship Id="rId14" Type="http://schemas.openxmlformats.org/officeDocument/2006/relationships/footer" Target="footer2.xml" /></Relationships>
</file>

<file path=word/_rels/footer2.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F2A1D3CE866544B55F81B435C60172" ma:contentTypeVersion="5" ma:contentTypeDescription="Utwórz nowy dokument." ma:contentTypeScope="" ma:versionID="4fe5070ff5207d89612c95b5418fdfeb">
  <xsd:schema xmlns:xsd="http://www.w3.org/2001/XMLSchema" xmlns:xs="http://www.w3.org/2001/XMLSchema" xmlns:p="http://schemas.microsoft.com/office/2006/metadata/properties" xmlns:ns3="5b924abe-5c7c-4ee1-bbfb-2cc9c334d60b" targetNamespace="http://schemas.microsoft.com/office/2006/metadata/properties" ma:root="true" ma:fieldsID="f5ca7a99b3a5c79aff769d73d79bf488" ns3:_="">
    <xsd:import namespace="5b924abe-5c7c-4ee1-bbfb-2cc9c334d60b"/>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4abe-5c7c-4ee1-bbfb-2cc9c334d60b"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88E343-B596-43ED-93AE-0D8AF59A9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4abe-5c7c-4ee1-bbfb-2cc9c334d6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9DCFB8-AF6F-423D-AC7D-9E3BDC1268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678</Words>
  <Characters>4068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dnia 16 lutego 2011</dc:title>
  <dc:subject/>
  <dc:creator>.</dc:creator>
  <cp:keywords/>
  <cp:lastModifiedBy>Grzegorz Niemczyk</cp:lastModifiedBy>
  <cp:revision>3</cp:revision>
  <cp:lastPrinted>2014-06-27T16:44:00Z</cp:lastPrinted>
  <dcterms:created xsi:type="dcterms:W3CDTF">2024-12-04T08:16:00Z</dcterms:created>
  <dcterms:modified xsi:type="dcterms:W3CDTF">2024-12-04T08:18:00Z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Instytut Adama Mickiewicza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0x0101002CF2A1D3CE866544B55F81B435C60172</vt:lpwstr>
  </property>
</Properties>
</file>